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center"/>
      </w:pPr>
    </w:p>
    <w:p>
      <w:pPr>
        <w:pStyle w:val="Normal.0"/>
        <w:jc w:val="center"/>
        <w:rPr>
          <w:rFonts w:ascii="Arial" w:cs="Arial" w:hAnsi="Arial" w:eastAsia="Arial"/>
          <w:b w:val="1"/>
          <w:bCs w:val="1"/>
          <w:i w:val="1"/>
          <w:iCs w:val="1"/>
          <w:outline w:val="0"/>
          <w:color w:val="008080"/>
          <w:u w:color="008080"/>
          <w14:shadow w14:sx="100000" w14:sy="100000" w14:kx="0" w14:ky="0" w14:algn="tl" w14:blurRad="0" w14:dist="19050" w14:dir="2700000">
            <w14:srgbClr w14:val="000000">
              <w14:alpha w14:val="50000"/>
            </w14:srgbClr>
          </w14:shadow>
          <w14:textFill>
            <w14:solidFill>
              <w14:srgbClr w14:val="008080"/>
            </w14:solidFill>
          </w14:textFill>
        </w:rPr>
      </w:pPr>
      <w:r>
        <w:rPr>
          <w:rFonts w:ascii="Arial" w:hAnsi="Arial"/>
          <w:b w:val="1"/>
          <w:bCs w:val="1"/>
          <w:i w:val="1"/>
          <w:iCs w:val="1"/>
          <w:outline w:val="0"/>
          <w:color w:val="008080"/>
          <w:u w:color="008080"/>
          <w:rtl w:val="0"/>
          <w:lang w:val="en-US"/>
          <w14:shadow w14:sx="100000" w14:sy="100000" w14:kx="0" w14:ky="0" w14:algn="tl" w14:blurRad="0" w14:dist="19050" w14:dir="2700000">
            <w14:srgbClr w14:val="000000">
              <w14:alpha w14:val="50000"/>
            </w14:srgbClr>
          </w14:shadow>
          <w14:textFill>
            <w14:solidFill>
              <w14:srgbClr w14:val="008080"/>
            </w14:solidFill>
          </w14:textFill>
        </w:rPr>
        <w:t xml:space="preserve">MISSION ENDOWMENT FUND </w:t>
      </w:r>
    </w:p>
    <w:p>
      <w:pPr>
        <w:pStyle w:val="Normal.0"/>
        <w:jc w:val="center"/>
        <w:rPr>
          <w:rFonts w:ascii="Arial" w:cs="Arial" w:hAnsi="Arial" w:eastAsia="Arial"/>
          <w:b w:val="1"/>
          <w:bCs w:val="1"/>
          <w:i w:val="1"/>
          <w:iCs w:val="1"/>
          <w:outline w:val="0"/>
          <w:color w:val="008080"/>
          <w:u w:color="008080"/>
          <w14:shadow w14:sx="100000" w14:sy="100000" w14:kx="0" w14:ky="0" w14:algn="tl" w14:blurRad="0" w14:dist="19050" w14:dir="2700000">
            <w14:srgbClr w14:val="000000">
              <w14:alpha w14:val="50000"/>
            </w14:srgbClr>
          </w14:shadow>
          <w14:textFill>
            <w14:solidFill>
              <w14:srgbClr w14:val="008080"/>
            </w14:solidFill>
          </w14:textFill>
        </w:rPr>
      </w:pPr>
      <w:r>
        <w:rPr>
          <w:rFonts w:ascii="Arial" w:hAnsi="Arial"/>
          <w:b w:val="1"/>
          <w:bCs w:val="1"/>
          <w:i w:val="1"/>
          <w:iCs w:val="1"/>
          <w:outline w:val="0"/>
          <w:color w:val="008080"/>
          <w:u w:color="008080"/>
          <w:rtl w:val="0"/>
          <w:lang w:val="en-US"/>
          <w14:shadow w14:sx="100000" w14:sy="100000" w14:kx="0" w14:ky="0" w14:algn="tl" w14:blurRad="0" w14:dist="19050" w14:dir="2700000">
            <w14:srgbClr w14:val="000000">
              <w14:alpha w14:val="50000"/>
            </w14:srgbClr>
          </w14:shadow>
          <w14:textFill>
            <w14:solidFill>
              <w14:srgbClr w14:val="008080"/>
            </w14:solidFill>
          </w14:textFill>
        </w:rPr>
        <w:t>GRANT APPLICATION</w:t>
      </w:r>
    </w:p>
    <w:p>
      <w:pPr>
        <w:pStyle w:val="Normal.0"/>
        <w:jc w:val="center"/>
        <w:rPr>
          <w:rFonts w:ascii="Arial" w:cs="Arial" w:hAnsi="Arial" w:eastAsia="Arial"/>
          <w:sz w:val="12"/>
          <w:szCs w:val="12"/>
        </w:rPr>
      </w:pPr>
    </w:p>
    <w:p>
      <w:pPr>
        <w:pStyle w:val="Normal.0"/>
        <w:rPr>
          <w:rFonts w:ascii="Arial" w:cs="Arial" w:hAnsi="Arial" w:eastAsia="Arial"/>
        </w:rPr>
      </w:pPr>
      <w:r>
        <w:rPr>
          <w:rFonts w:ascii="Arial" w:hAnsi="Arial"/>
          <w:rtl w:val="0"/>
          <w:lang w:val="en-US"/>
        </w:rPr>
        <w:t xml:space="preserve">The Calvary Lutheran Church Mission Endowment Fund (MEF) Committee is in the process of writing its </w:t>
      </w:r>
      <w:r>
        <w:rPr>
          <w:rFonts w:ascii="Arial" w:hAnsi="Arial"/>
          <w:b w:val="1"/>
          <w:bCs w:val="1"/>
          <w:rtl w:val="0"/>
          <w:lang w:val="en-US"/>
        </w:rPr>
        <w:t>Spending Plan</w:t>
      </w:r>
      <w:r>
        <w:rPr>
          <w:rFonts w:ascii="Arial" w:hAnsi="Arial"/>
          <w:rtl w:val="0"/>
          <w:lang w:val="en-US"/>
        </w:rPr>
        <w:t xml:space="preserve"> for the next year. In accordance with the bylaws, the MEF Committee </w:t>
      </w:r>
      <w:r>
        <w:rPr>
          <w:rFonts w:ascii="Arial" w:hAnsi="Arial"/>
          <w:i w:val="1"/>
          <w:iCs w:val="1"/>
          <w:rtl w:val="0"/>
          <w:lang w:val="en-US"/>
        </w:rPr>
        <w:t>shall distribute a minimum of 20% of the income (interest and dividends) from the fund to each of the three purposes set below.</w:t>
      </w:r>
      <w:r>
        <w:rPr>
          <w:rFonts w:ascii="Arial" w:hAnsi="Arial"/>
          <w:rtl w:val="0"/>
          <w:lang w:val="en-US"/>
        </w:rPr>
        <w:t xml:space="preserve"> The Committee is accepting applications for consideration at this time. All requests will be considered. Please complete one form for each purpose (check purpose) and return it to the MEF mailbox in church office by November 1. Thank you!</w:t>
      </w:r>
    </w:p>
    <w:p>
      <w:pPr>
        <w:pStyle w:val="Normal.0"/>
        <w:rPr>
          <w:rFonts w:ascii="Arial" w:cs="Arial" w:hAnsi="Arial" w:eastAsia="Arial"/>
          <w:sz w:val="8"/>
          <w:szCs w:val="8"/>
        </w:rPr>
      </w:pPr>
    </w:p>
    <w:p>
      <w:pPr>
        <w:pStyle w:val="Normal.0"/>
        <w:numPr>
          <w:ilvl w:val="0"/>
          <w:numId w:val="2"/>
        </w:numPr>
        <w:bidi w:val="0"/>
        <w:ind w:right="0"/>
        <w:jc w:val="left"/>
        <w:rPr>
          <w:rFonts w:ascii="Arial" w:hAnsi="Arial"/>
          <w:b w:val="1"/>
          <w:bCs w:val="1"/>
          <w:i w:val="1"/>
          <w:iCs w:val="1"/>
          <w:rtl w:val="0"/>
          <w:lang w:val="en-US"/>
        </w:rPr>
      </w:pPr>
      <w:r>
        <w:rPr>
          <w:rFonts w:ascii="Arial" w:hAnsi="Arial"/>
          <w:b w:val="1"/>
          <w:bCs w:val="1"/>
          <w:i w:val="1"/>
          <w:iCs w:val="1"/>
          <w:rtl w:val="0"/>
          <w:lang w:val="en-US"/>
        </w:rPr>
        <w:t>1.  COMMUNITY OUTREACH</w:t>
      </w:r>
    </w:p>
    <w:p>
      <w:pPr>
        <w:pStyle w:val="Normal.0"/>
        <w:numPr>
          <w:ilvl w:val="0"/>
          <w:numId w:val="4"/>
        </w:numPr>
        <w:bidi w:val="0"/>
        <w:ind w:right="0"/>
        <w:jc w:val="left"/>
        <w:rPr>
          <w:rFonts w:ascii="Arial" w:hAnsi="Arial"/>
          <w:b w:val="1"/>
          <w:bCs w:val="1"/>
          <w:i w:val="1"/>
          <w:iCs w:val="1"/>
          <w:rtl w:val="0"/>
          <w:lang w:val="en-US"/>
        </w:rPr>
      </w:pPr>
      <w:r>
        <w:rPr>
          <w:rFonts w:ascii="Arial" w:hAnsi="Arial"/>
          <w:b w:val="1"/>
          <w:bCs w:val="1"/>
          <w:i w:val="1"/>
          <w:iCs w:val="1"/>
          <w:rtl w:val="0"/>
          <w:lang w:val="en-US"/>
        </w:rPr>
        <w:t>2. ELCA MINISTRY OPPORTUNITIES NATIONALLY AND WORLDWIDE</w:t>
      </w:r>
    </w:p>
    <w:p>
      <w:pPr>
        <w:pStyle w:val="Normal.0"/>
        <w:numPr>
          <w:ilvl w:val="0"/>
          <w:numId w:val="6"/>
        </w:numPr>
        <w:bidi w:val="0"/>
        <w:ind w:right="0"/>
        <w:jc w:val="left"/>
        <w:rPr>
          <w:rFonts w:ascii="Arial" w:hAnsi="Arial"/>
          <w:b w:val="1"/>
          <w:bCs w:val="1"/>
          <w:i w:val="1"/>
          <w:iCs w:val="1"/>
          <w:rtl w:val="0"/>
          <w:lang w:val="en-US"/>
        </w:rPr>
      </w:pPr>
      <w:r>
        <w:rPr>
          <w:rFonts w:ascii="Arial" w:hAnsi="Arial"/>
          <w:b w:val="1"/>
          <w:bCs w:val="1"/>
          <w:i w:val="1"/>
          <w:iCs w:val="1"/>
          <w:rtl w:val="0"/>
          <w:lang w:val="en-US"/>
        </w:rPr>
        <w:t>3. NEW MINISTRY OPPORTUNITIES WITHIN OUR CONGREGATION</w:t>
      </w:r>
    </w:p>
    <w:p>
      <w:pPr>
        <w:pStyle w:val="Normal.0"/>
        <w:rPr>
          <w:rFonts w:ascii="Arial" w:cs="Arial" w:hAnsi="Arial" w:eastAsia="Arial"/>
        </w:rPr>
      </w:pPr>
    </w:p>
    <w:p>
      <w:pPr>
        <w:pStyle w:val="Normal.0"/>
        <w:rPr>
          <w:rFonts w:ascii="Arial" w:cs="Arial" w:hAnsi="Arial" w:eastAsia="Arial"/>
          <w:sz w:val="26"/>
          <w:szCs w:val="26"/>
        </w:rPr>
      </w:pPr>
      <w:r>
        <w:rPr>
          <w:rFonts w:ascii="Arial" w:hAnsi="Arial"/>
          <w:rtl w:val="0"/>
          <w:lang w:val="en-US"/>
        </w:rPr>
        <w:t>Requester name, phone number &amp; Email</w:t>
      </w:r>
      <w:r>
        <w:rPr>
          <w:rFonts w:ascii="Arial" w:hAnsi="Arial"/>
          <w:sz w:val="26"/>
          <w:szCs w:val="26"/>
          <w:rtl w:val="0"/>
          <w:lang w:val="en-US"/>
        </w:rPr>
        <w:t>______________________________________</w:t>
      </w:r>
    </w:p>
    <w:p>
      <w:pPr>
        <w:pStyle w:val="Normal.0"/>
        <w:rPr>
          <w:rFonts w:ascii="Arial" w:cs="Arial" w:hAnsi="Arial" w:eastAsia="Arial"/>
          <w:sz w:val="26"/>
          <w:szCs w:val="26"/>
        </w:rPr>
      </w:pPr>
      <w:r>
        <w:rPr>
          <w:rFonts w:ascii="Arial" w:hAnsi="Arial"/>
          <w:sz w:val="26"/>
          <w:szCs w:val="26"/>
          <w:rtl w:val="0"/>
          <w:lang w:val="en-US"/>
        </w:rPr>
        <w:t>____________________________________________________________________</w:t>
      </w:r>
    </w:p>
    <w:p>
      <w:pPr>
        <w:pStyle w:val="Normal.0"/>
        <w:rPr>
          <w:rFonts w:ascii="Arial" w:cs="Arial" w:hAnsi="Arial" w:eastAsia="Arial"/>
        </w:rPr>
      </w:pPr>
    </w:p>
    <w:p>
      <w:pPr>
        <w:pStyle w:val="Normal.0"/>
        <w:rPr>
          <w:rFonts w:ascii="Arial" w:cs="Arial" w:hAnsi="Arial" w:eastAsia="Arial"/>
        </w:rPr>
      </w:pPr>
      <w:r>
        <w:rPr>
          <w:rFonts w:ascii="Arial" w:hAnsi="Arial"/>
          <w:rtl w:val="0"/>
          <w:lang w:val="en-US"/>
        </w:rPr>
        <w:t>Amount requested (Max is $9,600) $___________________</w:t>
      </w:r>
    </w:p>
    <w:p>
      <w:pPr>
        <w:pStyle w:val="Normal.0"/>
        <w:rPr>
          <w:rFonts w:ascii="Arial" w:cs="Arial" w:hAnsi="Arial" w:eastAsia="Arial"/>
        </w:rPr>
      </w:pPr>
      <w:r>
        <w:rPr>
          <w:rFonts w:ascii="Arial" w:hAnsi="Arial"/>
          <w:rtl w:val="0"/>
          <w:lang w:val="en-US"/>
        </w:rPr>
        <w:t>For</w:t>
      </w:r>
      <w:r>
        <w:rPr>
          <w:rFonts w:ascii="Arial" w:hAnsi="Arial"/>
          <w:sz w:val="30"/>
          <w:szCs w:val="30"/>
          <w:rtl w:val="0"/>
          <w:lang w:val="en-US"/>
        </w:rPr>
        <w:t>_</w:t>
      </w:r>
      <w:r>
        <w:rPr>
          <w:rFonts w:ascii="Arial" w:hAnsi="Arial"/>
          <w:sz w:val="31"/>
          <w:szCs w:val="31"/>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0"/>
        <w:rPr>
          <w:rFonts w:ascii="Arial" w:cs="Arial" w:hAnsi="Arial" w:eastAsia="Arial"/>
        </w:rPr>
      </w:pPr>
    </w:p>
    <w:p>
      <w:pPr>
        <w:pStyle w:val="Normal.0"/>
        <w:rPr>
          <w:rFonts w:ascii="Arial" w:cs="Arial" w:hAnsi="Arial" w:eastAsia="Arial"/>
        </w:rPr>
      </w:pPr>
      <w:r>
        <w:rPr>
          <w:rFonts w:ascii="Arial" w:hAnsi="Arial"/>
          <w:rtl w:val="0"/>
          <w:lang w:val="en-US"/>
        </w:rPr>
        <w:t>Please attach any quotes/estimates available. Turn page over for explanation of three purposes.</w:t>
      </w:r>
    </w:p>
    <w:p>
      <w:pPr>
        <w:pStyle w:val="Normal.0"/>
        <w:rPr>
          <w:rFonts w:ascii="Arial" w:cs="Arial" w:hAnsi="Arial" w:eastAsia="Arial"/>
          <w:sz w:val="8"/>
          <w:szCs w:val="8"/>
        </w:rPr>
      </w:pPr>
    </w:p>
    <w:p>
      <w:pPr>
        <w:pStyle w:val="Normal.0"/>
        <w:rPr>
          <w:rFonts w:ascii="Arial" w:cs="Arial" w:hAnsi="Arial" w:eastAsia="Arial"/>
        </w:rPr>
      </w:pPr>
      <w:r>
        <w:rPr>
          <w:rFonts w:ascii="Arial" w:hAnsi="Arial"/>
          <w:rtl w:val="0"/>
          <w:lang w:val="en-US"/>
        </w:rPr>
        <w:t xml:space="preserve">- - - - - - - - - - - - - - - - - - - - - - - - - - - - - - - - - - - - - - - - - - - - - - - - - - - - - - - - - - - - - - - - - - - - </w:t>
      </w:r>
    </w:p>
    <w:p>
      <w:pPr>
        <w:pStyle w:val="Normal.0"/>
        <w:rPr>
          <w:rFonts w:ascii="Arial" w:cs="Arial" w:hAnsi="Arial" w:eastAsia="Arial"/>
        </w:rPr>
      </w:pPr>
    </w:p>
    <w:p>
      <w:pPr>
        <w:pStyle w:val="Normal.0"/>
        <w:rPr>
          <w:rFonts w:ascii="Arial" w:cs="Arial" w:hAnsi="Arial" w:eastAsia="Arial"/>
        </w:rPr>
      </w:pPr>
    </w:p>
    <w:p>
      <w:pPr>
        <w:pStyle w:val="Normal.0"/>
        <w:rPr>
          <w:rFonts w:ascii="Arial" w:cs="Arial" w:hAnsi="Arial" w:eastAsia="Arial"/>
        </w:rPr>
      </w:pPr>
      <w:r>
        <w:rPr>
          <w:rFonts w:ascii="Arial" w:hAnsi="Arial"/>
          <w:rtl w:val="0"/>
          <w:lang w:val="en-US"/>
        </w:rPr>
        <w:t>Approved by_________________________________    Date_________________________</w:t>
      </w:r>
    </w:p>
    <w:p>
      <w:pPr>
        <w:pStyle w:val="Normal.0"/>
        <w:rPr>
          <w:rFonts w:ascii="Arial" w:cs="Arial" w:hAnsi="Arial" w:eastAsia="Arial"/>
        </w:rPr>
      </w:pPr>
    </w:p>
    <w:p>
      <w:pPr>
        <w:pStyle w:val="Normal.0"/>
        <w:rPr>
          <w:rFonts w:ascii="Arial" w:cs="Arial" w:hAnsi="Arial" w:eastAsia="Arial"/>
          <w:outline w:val="0"/>
          <w:color w:val="008080"/>
          <w:u w:color="008080"/>
          <w14:shadow w14:sx="100000" w14:sy="100000" w14:kx="0" w14:ky="0" w14:algn="tl" w14:blurRad="0" w14:dist="19050" w14:dir="2700000">
            <w14:srgbClr w14:val="000000">
              <w14:alpha w14:val="50000"/>
            </w14:srgbClr>
          </w14:shadow>
          <w14:textFill>
            <w14:solidFill>
              <w14:srgbClr w14:val="008080"/>
            </w14:solidFill>
          </w14:textFill>
        </w:rPr>
      </w:pPr>
      <w:r>
        <w:rPr>
          <w:rFonts w:ascii="Arial" w:hAnsi="Arial"/>
          <w:rtl w:val="0"/>
          <w:lang w:val="en-US"/>
        </w:rPr>
        <w:t>Payee____________________________    Amount paid/check number_________________</w:t>
      </w:r>
    </w:p>
    <w:p>
      <w:pPr>
        <w:pStyle w:val="Normal.0"/>
        <w:spacing w:after="200"/>
        <w:jc w:val="center"/>
        <w:rPr>
          <w:rFonts w:ascii="Arial" w:cs="Arial" w:hAnsi="Arial" w:eastAsia="Arial"/>
          <w:outline w:val="0"/>
          <w:color w:val="008080"/>
          <w:u w:color="008080"/>
          <w14:shadow w14:sx="100000" w14:sy="100000" w14:kx="0" w14:ky="0" w14:algn="tl" w14:blurRad="0" w14:dist="19050" w14:dir="2700000">
            <w14:srgbClr w14:val="000000">
              <w14:alpha w14:val="50000"/>
            </w14:srgbClr>
          </w14:shadow>
          <w14:textFill>
            <w14:solidFill>
              <w14:srgbClr w14:val="008080"/>
            </w14:solidFill>
          </w14:textFill>
        </w:rPr>
      </w:pPr>
    </w:p>
    <w:p>
      <w:pPr>
        <w:pStyle w:val="Normal.0"/>
        <w:spacing w:after="200"/>
        <w:jc w:val="center"/>
        <w:rPr>
          <w:rFonts w:ascii="Arial" w:cs="Arial" w:hAnsi="Arial" w:eastAsia="Arial"/>
          <w:outline w:val="0"/>
          <w:color w:val="008080"/>
          <w:u w:color="008080"/>
          <w14:shadow w14:sx="100000" w14:sy="100000" w14:kx="0" w14:ky="0" w14:algn="tl" w14:blurRad="0" w14:dist="19050" w14:dir="2700000">
            <w14:srgbClr w14:val="000000">
              <w14:alpha w14:val="50000"/>
            </w14:srgbClr>
          </w14:shadow>
          <w14:textFill>
            <w14:solidFill>
              <w14:srgbClr w14:val="008080"/>
            </w14:solidFill>
          </w14:textFill>
        </w:rPr>
      </w:pPr>
    </w:p>
    <w:p>
      <w:pPr>
        <w:pStyle w:val="Normal.0"/>
        <w:spacing w:after="200"/>
        <w:jc w:val="center"/>
        <w:rPr>
          <w:rFonts w:ascii="Arial" w:cs="Arial" w:hAnsi="Arial" w:eastAsia="Arial"/>
        </w:rPr>
      </w:pPr>
      <w:r>
        <w:rPr>
          <w:rFonts w:ascii="Arial" w:hAnsi="Arial"/>
          <w:b w:val="1"/>
          <w:bCs w:val="1"/>
          <w:i w:val="1"/>
          <w:iCs w:val="1"/>
          <w:outline w:val="0"/>
          <w:color w:val="008080"/>
          <w:u w:color="008080"/>
          <w:rtl w:val="0"/>
          <w:lang w:val="en-US"/>
          <w14:shadow w14:sx="100000" w14:sy="100000" w14:kx="0" w14:ky="0" w14:algn="tl" w14:blurRad="0" w14:dist="19050" w14:dir="2700000">
            <w14:srgbClr w14:val="000000">
              <w14:alpha w14:val="50000"/>
            </w14:srgbClr>
          </w14:shadow>
          <w14:textFill>
            <w14:solidFill>
              <w14:srgbClr w14:val="008080"/>
            </w14:solidFill>
          </w14:textFill>
        </w:rPr>
        <w:t>EXPLANATION OF THREE PURPOSES</w:t>
      </w:r>
    </w:p>
    <w:p>
      <w:pPr>
        <w:pStyle w:val="Normal.0"/>
        <w:spacing w:after="200"/>
        <w:rPr>
          <w:rFonts w:ascii="Arial" w:cs="Arial" w:hAnsi="Arial" w:eastAsia="Arial"/>
        </w:rPr>
      </w:pPr>
      <w:r>
        <w:rPr>
          <w:rFonts w:ascii="Arial" w:hAnsi="Arial"/>
          <w:rtl w:val="0"/>
          <w:lang w:val="en-US"/>
        </w:rPr>
        <w:t xml:space="preserve">1. </w:t>
      </w:r>
      <w:r>
        <w:rPr>
          <w:rFonts w:ascii="Arial" w:hAnsi="Arial" w:hint="default"/>
          <w:rtl w:val="0"/>
          <w:lang w:val="en-US"/>
        </w:rPr>
        <w:t>  </w:t>
      </w:r>
      <w:r>
        <w:rPr>
          <w:rFonts w:ascii="Arial" w:hAnsi="Arial"/>
          <w:rtl w:val="0"/>
          <w:lang w:val="en-US"/>
        </w:rPr>
        <w:t>The Fund Committee shall receive, hold, collect, manage, sell, invest and reinvest any property, or other proceeds at any time forming any part of the Perpetual Fund, The Memorial Fund or the Designated Fund.</w:t>
      </w:r>
    </w:p>
    <w:p>
      <w:pPr>
        <w:pStyle w:val="Normal.0"/>
        <w:spacing w:after="200"/>
        <w:rPr>
          <w:rFonts w:ascii="Arial" w:cs="Arial" w:hAnsi="Arial" w:eastAsia="Arial"/>
        </w:rPr>
      </w:pPr>
      <w:r>
        <w:rPr>
          <w:rFonts w:ascii="Arial" w:hAnsi="Arial"/>
          <w:rtl w:val="0"/>
          <w:lang w:val="en-US"/>
        </w:rPr>
        <w:t xml:space="preserve">2. </w:t>
      </w:r>
      <w:r>
        <w:rPr>
          <w:rFonts w:ascii="Arial" w:hAnsi="Arial" w:hint="default"/>
          <w:rtl w:val="0"/>
          <w:lang w:val="en-US"/>
        </w:rPr>
        <w:t>  </w:t>
      </w:r>
      <w:r>
        <w:rPr>
          <w:rFonts w:ascii="Arial" w:hAnsi="Arial"/>
          <w:rtl w:val="0"/>
          <w:lang w:val="en-US"/>
        </w:rPr>
        <w:t>The Fund Committee shall distribute income from the Perpetual Fund at such time or times and in such amounts as they may determine, for the purposes set forth below.</w:t>
      </w:r>
    </w:p>
    <w:p>
      <w:pPr>
        <w:pStyle w:val="Normal.0"/>
        <w:spacing w:after="200"/>
        <w:ind w:left="720" w:firstLine="0"/>
        <w:rPr>
          <w:rFonts w:ascii="Arial" w:cs="Arial" w:hAnsi="Arial" w:eastAsia="Arial"/>
        </w:rPr>
      </w:pPr>
      <w:r>
        <w:rPr>
          <w:rFonts w:ascii="Arial" w:hAnsi="Arial"/>
          <w:rtl w:val="0"/>
          <w:lang w:val="en-US"/>
        </w:rPr>
        <w:t xml:space="preserve">1. </w:t>
      </w:r>
      <w:r>
        <w:rPr>
          <w:rFonts w:ascii="Arial" w:hAnsi="Arial" w:hint="default"/>
          <w:rtl w:val="0"/>
          <w:lang w:val="en-US"/>
        </w:rPr>
        <w:t>  </w:t>
      </w:r>
      <w:r>
        <w:rPr>
          <w:rFonts w:ascii="Arial" w:hAnsi="Arial"/>
          <w:rtl w:val="0"/>
          <w:lang w:val="en-US"/>
        </w:rPr>
        <w:t>Community Outreach: A minimum of 20% of the income from the Perpetual Fund available for distribution shall be used for outreach into the community as an expression of our membership in and responsible partnership with the community in meeting the needs of all its citizens. Such outreach may include, but not be limited to, community charitable organizations and youth programs, families or individual emergencies outside Calvary Congregation, assistance to homeless persons, Tijuana projects and housing, and Lutheran Social Services. In this way we will seek to let the light of Christ</w:t>
      </w:r>
      <w:r>
        <w:rPr>
          <w:rFonts w:ascii="Arial" w:hAnsi="Arial" w:hint="default"/>
          <w:rtl w:val="0"/>
          <w:lang w:val="en-US"/>
        </w:rPr>
        <w:t>’</w:t>
      </w:r>
      <w:r>
        <w:rPr>
          <w:rFonts w:ascii="Arial" w:hAnsi="Arial"/>
          <w:rtl w:val="0"/>
          <w:lang w:val="en-US"/>
        </w:rPr>
        <w:t>s love shine in our community in special ways so that all may know of our congregation</w:t>
      </w:r>
      <w:r>
        <w:rPr>
          <w:rFonts w:ascii="Arial" w:hAnsi="Arial" w:hint="default"/>
          <w:rtl w:val="0"/>
          <w:lang w:val="en-US"/>
        </w:rPr>
        <w:t>’</w:t>
      </w:r>
      <w:r>
        <w:rPr>
          <w:rFonts w:ascii="Arial" w:hAnsi="Arial"/>
          <w:rtl w:val="0"/>
          <w:lang w:val="en-US"/>
        </w:rPr>
        <w:t>s commitment to express Christ</w:t>
      </w:r>
      <w:r>
        <w:rPr>
          <w:rFonts w:ascii="Arial" w:hAnsi="Arial" w:hint="default"/>
          <w:rtl w:val="0"/>
          <w:lang w:val="en-US"/>
        </w:rPr>
        <w:t>’</w:t>
      </w:r>
      <w:r>
        <w:rPr>
          <w:rFonts w:ascii="Arial" w:hAnsi="Arial"/>
          <w:rtl w:val="0"/>
          <w:lang w:val="en-US"/>
        </w:rPr>
        <w:t>s compassionate love.</w:t>
      </w:r>
    </w:p>
    <w:p>
      <w:pPr>
        <w:pStyle w:val="Normal.0"/>
        <w:spacing w:after="200"/>
        <w:ind w:left="720" w:firstLine="0"/>
        <w:rPr>
          <w:rFonts w:ascii="Arial" w:cs="Arial" w:hAnsi="Arial" w:eastAsia="Arial"/>
        </w:rPr>
      </w:pPr>
      <w:r>
        <w:rPr>
          <w:rFonts w:ascii="Arial" w:hAnsi="Arial"/>
          <w:rtl w:val="0"/>
          <w:lang w:val="en-US"/>
        </w:rPr>
        <w:t xml:space="preserve">2. </w:t>
      </w:r>
      <w:r>
        <w:rPr>
          <w:rFonts w:ascii="Arial" w:hAnsi="Arial" w:hint="default"/>
          <w:rtl w:val="0"/>
          <w:lang w:val="en-US"/>
        </w:rPr>
        <w:t>  </w:t>
      </w:r>
      <w:r>
        <w:rPr>
          <w:rFonts w:ascii="Arial" w:hAnsi="Arial"/>
          <w:rtl w:val="0"/>
          <w:lang w:val="en-US"/>
        </w:rPr>
        <w:t>ELCA Ministry Opportunities Nationally and Worldwide: A minimum of 20% of the income from the Perpetual Fund available for distribution shall be used for the ministries of the ELCA at the synod, national, and international levels. Such ministries may include but not be limited to grants to the ELCA for new mission development, world hunger relief, disaster relief, assistance to other Lutheran congregations, world missions and Lutheran senior communities.</w:t>
      </w:r>
    </w:p>
    <w:p>
      <w:pPr>
        <w:pStyle w:val="Normal.0"/>
        <w:spacing w:after="200"/>
        <w:ind w:left="720" w:firstLine="0"/>
        <w:rPr>
          <w:rFonts w:ascii="Arial" w:cs="Arial" w:hAnsi="Arial" w:eastAsia="Arial"/>
        </w:rPr>
      </w:pPr>
      <w:r>
        <w:rPr>
          <w:rFonts w:ascii="Arial" w:hAnsi="Arial"/>
          <w:rtl w:val="0"/>
          <w:lang w:val="en-US"/>
        </w:rPr>
        <w:t xml:space="preserve">3. </w:t>
      </w:r>
      <w:r>
        <w:rPr>
          <w:rFonts w:ascii="Arial" w:hAnsi="Arial" w:hint="default"/>
          <w:rtl w:val="0"/>
          <w:lang w:val="en-US"/>
        </w:rPr>
        <w:t> </w:t>
      </w:r>
      <w:r>
        <w:rPr>
          <w:rFonts w:ascii="Arial" w:hAnsi="Arial"/>
          <w:rtl w:val="0"/>
          <w:lang w:val="en-US"/>
        </w:rPr>
        <w:t>New Ministry of the Perpetual Opportunities within our Congregation: A minimum of 20% of the income from the Perpetual Fund available for distribution shall be used for religious, educational and charitable work within Calvary, including but not limited to scholarships, seminary student support, interns, start-up cost of new program ministries and/or staffing (including salaries for a maximum of 12 months), new material or equipment, capital improvements (a dollar for dollar matching basis with Members of the Congregation is recommended), family or individual emergencies within the Calvary Congregation, or other opportunities within the Congregation that will encourage Christian growth in faith, fellowship, service or outreach.</w:t>
      </w:r>
      <w:r>
        <w:rPr>
          <w:rFonts w:ascii="Arial" w:hAnsi="Arial" w:hint="default"/>
          <w:rtl w:val="0"/>
          <w:lang w:val="en-US"/>
        </w:rPr>
        <w:t> </w:t>
      </w:r>
    </w:p>
    <w:p>
      <w:pPr>
        <w:pStyle w:val="Normal.0"/>
        <w:spacing w:after="200"/>
        <w:rPr>
          <w:rFonts w:ascii="Arial" w:cs="Arial" w:hAnsi="Arial" w:eastAsia="Arial"/>
        </w:rPr>
      </w:pPr>
      <w:r>
        <w:rPr>
          <w:rFonts w:ascii="Arial" w:hAnsi="Arial"/>
          <w:rtl w:val="0"/>
          <w:lang w:val="en-US"/>
        </w:rPr>
        <w:t xml:space="preserve">3. </w:t>
      </w:r>
      <w:r>
        <w:rPr>
          <w:rFonts w:ascii="Arial" w:hAnsi="Arial" w:hint="default"/>
          <w:rtl w:val="0"/>
          <w:lang w:val="en-US"/>
        </w:rPr>
        <w:t>  </w:t>
      </w:r>
      <w:r>
        <w:rPr>
          <w:rFonts w:ascii="Arial" w:hAnsi="Arial"/>
          <w:rtl w:val="0"/>
          <w:lang w:val="en-US"/>
        </w:rPr>
        <w:t>Income in the Perpetual Fund, the Memorial Fund and the Designated Fund is defined as interest and dividends. Any gains in the funds as a result of appreciation will not be included as income.</w:t>
      </w:r>
    </w:p>
    <w:p>
      <w:pPr>
        <w:pStyle w:val="Normal.0"/>
        <w:spacing w:after="200"/>
      </w:pPr>
      <w:r>
        <w:rPr>
          <w:rFonts w:ascii="Arial" w:hAnsi="Arial"/>
          <w:rtl w:val="0"/>
          <w:lang w:val="en-US"/>
        </w:rPr>
        <w:t xml:space="preserve">4. </w:t>
      </w:r>
      <w:r>
        <w:rPr>
          <w:rFonts w:ascii="Arial" w:hAnsi="Arial" w:hint="default"/>
          <w:rtl w:val="0"/>
          <w:lang w:val="en-US"/>
        </w:rPr>
        <w:t>  </w:t>
      </w:r>
      <w:r>
        <w:rPr>
          <w:rFonts w:ascii="Arial" w:hAnsi="Arial"/>
          <w:rtl w:val="0"/>
          <w:lang w:val="en-US"/>
        </w:rPr>
        <w:t>Any income from the Perpetual Fund not distributed within 12 months after the end of the calendar year in which it was earned shall be added to and become part of the principal of the Perpetual Fund and shall be held in perpetuity except as provided for herein.</w:t>
      </w:r>
    </w:p>
    <w:sectPr>
      <w:headerReference w:type="default" r:id="rId4"/>
      <w:footerReference w:type="default" r:id="rId5"/>
      <w:pgSz w:w="12240" w:h="15840" w:orient="portrait"/>
      <w:pgMar w:top="864" w:right="1008" w:bottom="864" w:left="1008" w:header="720" w:footer="28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Lucida Grande">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pBdr>
        <w:top w:val="single" w:color="008080" w:sz="18" w:space="0" w:shadow="0" w:frame="0"/>
        <w:left w:val="nil"/>
        <w:bottom w:val="nil"/>
        <w:right w:val="nil"/>
      </w:pBdr>
      <w:rPr>
        <w:outline w:val="0"/>
        <w:color w:val="008080"/>
        <w:sz w:val="18"/>
        <w:szCs w:val="18"/>
        <w:u w:val="single" w:color="008080"/>
        <w:lang w:val="it-IT"/>
        <w14:textFill>
          <w14:solidFill>
            <w14:srgbClr w14:val="008080"/>
          </w14:solidFill>
        </w14:textFill>
      </w:rPr>
    </w:pPr>
    <w:r>
      <w:rPr>
        <w:rFonts w:ascii="Lucida Grande" w:hAnsi="Lucida Grande"/>
        <w:outline w:val="0"/>
        <w:color w:val="008080"/>
        <w:sz w:val="18"/>
        <w:szCs w:val="18"/>
        <w:u w:color="008080"/>
        <w:rtl w:val="0"/>
        <w:lang w:val="it-IT"/>
        <w14:textFill>
          <w14:solidFill>
            <w14:srgbClr w14:val="008080"/>
          </w14:solidFill>
        </w14:textFill>
      </w:rPr>
      <w:t>858.755.2855</w:t>
    </w:r>
    <w:r>
      <w:rPr>
        <w:outline w:val="0"/>
        <w:color w:val="008080"/>
        <w:u w:color="008080"/>
        <w:lang w:val="it-IT"/>
        <w14:textFill>
          <w14:solidFill>
            <w14:srgbClr w14:val="008080"/>
          </w14:solidFill>
        </w14:textFill>
      </w:rPr>
      <w:tab/>
    </w:r>
    <w:r>
      <w:rPr>
        <w:rFonts w:ascii="Lucida Grande" w:hAnsi="Lucida Grande"/>
        <w:outline w:val="0"/>
        <w:color w:val="008080"/>
        <w:sz w:val="18"/>
        <w:szCs w:val="18"/>
        <w:u w:color="008080"/>
        <w:rtl w:val="0"/>
        <w:lang w:val="it-IT"/>
        <w14:textFill>
          <w14:solidFill>
            <w14:srgbClr w14:val="008080"/>
          </w14:solidFill>
        </w14:textFill>
      </w:rPr>
      <w:t>424 Via de la Valle</w:t>
    </w:r>
    <w:r>
      <w:rPr>
        <w:outline w:val="0"/>
        <w:color w:val="008080"/>
        <w:u w:color="008080"/>
        <w:rtl w:val="0"/>
        <w:lang w:val="it-IT"/>
        <w14:textFill>
          <w14:solidFill>
            <w14:srgbClr w14:val="008080"/>
          </w14:solidFill>
        </w14:textFill>
      </w:rPr>
      <w:tab/>
      <w:t xml:space="preserve">                     </w:t>
    </w:r>
    <w:r>
      <w:rPr>
        <w:outline w:val="0"/>
        <w:color w:val="008080"/>
        <w:sz w:val="18"/>
        <w:szCs w:val="18"/>
        <w:u w:color="008080"/>
        <w:rtl w:val="0"/>
        <w:lang w:val="it-IT"/>
        <w14:textFill>
          <w14:solidFill>
            <w14:srgbClr w14:val="008080"/>
          </w14:solidFill>
        </w14:textFill>
      </w:rPr>
      <w:t xml:space="preserve">                           </w:t>
    </w:r>
    <w:r>
      <w:rPr>
        <w:rFonts w:ascii="Lucida Grande" w:hAnsi="Lucida Grande"/>
        <w:outline w:val="0"/>
        <w:color w:val="008080"/>
        <w:sz w:val="16"/>
        <w:szCs w:val="16"/>
        <w:u w:val="single" w:color="008080"/>
        <w:rtl w:val="0"/>
        <w:lang w:val="it-IT"/>
        <w14:textFill>
          <w14:solidFill>
            <w14:srgbClr w14:val="008080"/>
          </w14:solidFill>
        </w14:textFill>
      </w:rPr>
      <w:t>www.calvarylutheranchurch.org</w:t>
    </w:r>
  </w:p>
  <w:p>
    <w:pPr>
      <w:pStyle w:val="Footer"/>
    </w:pPr>
    <w:r>
      <w:rPr>
        <w:outline w:val="0"/>
        <w:color w:val="008080"/>
        <w:u w:color="008080"/>
        <w:lang w:val="it-IT"/>
        <w14:textFill>
          <w14:solidFill>
            <w14:srgbClr w14:val="008080"/>
          </w14:solidFill>
        </w14:textFill>
      </w:rPr>
      <w:tab/>
    </w:r>
    <w:r>
      <w:rPr>
        <w:rFonts w:ascii="Lucida Grande" w:hAnsi="Lucida Grande"/>
        <w:outline w:val="0"/>
        <w:color w:val="008080"/>
        <w:sz w:val="18"/>
        <w:szCs w:val="18"/>
        <w:u w:color="008080"/>
        <w:rtl w:val="0"/>
        <w:lang w:val="it-IT"/>
        <w14:textFill>
          <w14:solidFill>
            <w14:srgbClr w14:val="008080"/>
          </w14:solidFill>
        </w14:textFill>
      </w:rPr>
      <w:t>Solana Beach, CA  92014</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pPr>
    <w:r>
      <w:drawing>
        <wp:inline distT="0" distB="0" distL="0" distR="0">
          <wp:extent cx="6492113" cy="649212"/>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unknown.png"/>
                  <pic:cNvPicPr>
                    <a:picLocks noChangeAspect="1"/>
                  </pic:cNvPicPr>
                </pic:nvPicPr>
                <pic:blipFill>
                  <a:blip r:embed="rId1">
                    <a:extLst/>
                  </a:blip>
                  <a:stretch>
                    <a:fillRect/>
                  </a:stretch>
                </pic:blipFill>
                <pic:spPr>
                  <a:xfrm>
                    <a:off x="0" y="0"/>
                    <a:ext cx="6492113" cy="649212"/>
                  </a:xfrm>
                  <a:prstGeom prst="rect">
                    <a:avLst/>
                  </a:prstGeom>
                  <a:ln w="12700" cap="flat">
                    <a:noFill/>
                    <a:miter lim="400000"/>
                  </a:ln>
                  <a:effectLst/>
                </pic:spPr>
              </pic:pic>
            </a:graphicData>
          </a:graphic>
        </wp:inline>
      </w:drawing>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o"/>
      <w:lvlJc w:val="left"/>
      <w:pPr>
        <w:tabs>
          <w:tab w:val="left" w:pos="144"/>
        </w:tabs>
        <w:ind w:left="720" w:hanging="576"/>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sz w:val="40"/>
        <w:szCs w:val="40"/>
        <w:highlight w:val="none"/>
        <w:vertAlign w:val="baseline"/>
      </w:rPr>
    </w:lvl>
    <w:lvl w:ilvl="1">
      <w:start w:val="1"/>
      <w:numFmt w:val="bullet"/>
      <w:suff w:val="tab"/>
      <w:lvlText w:val="o"/>
      <w:lvlJc w:val="left"/>
      <w:pPr>
        <w:tabs>
          <w:tab w:val="left" w:pos="144"/>
        </w:tabs>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44"/>
        </w:tabs>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44"/>
        </w:tabs>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144"/>
        </w:tabs>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44"/>
        </w:tabs>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44"/>
        </w:tabs>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144"/>
        </w:tabs>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44"/>
        </w:tabs>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o"/>
      <w:lvlJc w:val="left"/>
      <w:pPr>
        <w:ind w:left="720" w:hanging="576"/>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sz w:val="40"/>
        <w:szCs w:val="4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o"/>
      <w:lvlJc w:val="left"/>
      <w:pPr>
        <w:ind w:left="720" w:hanging="576"/>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sz w:val="40"/>
        <w:szCs w:val="4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w="12700" w14:cap="flat">
        <w14:noFill/>
        <w14:miter w14:lim="400000"/>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